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B5" w:rsidRDefault="00A03FB5" w:rsidP="00A03FB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3FB5">
        <w:rPr>
          <w:rFonts w:ascii="Times New Roman" w:hAnsi="Times New Roman" w:cs="Times New Roman"/>
          <w:sz w:val="28"/>
          <w:szCs w:val="28"/>
        </w:rPr>
        <w:t>ДЮСТЦ,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03FB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03FB5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A03FB5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A03FB5" w:rsidRPr="00353351" w:rsidRDefault="00A03FB5" w:rsidP="00A03F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03FB5" w:rsidRDefault="00A03FB5" w:rsidP="00A03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диагностического исследования по выявлению детей с трудностями в обучении</w:t>
      </w:r>
    </w:p>
    <w:p w:rsidR="00A03FB5" w:rsidRDefault="00A03FB5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проведена на базе ДЮСТЦ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ита,19.12.2017г. по запросу педагогов центра, на группе детей, учащихся центра, в возрасте 7 лет, </w:t>
      </w:r>
    </w:p>
    <w:p w:rsidR="0013163E" w:rsidRDefault="00A03FB5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приняли участи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27 учащихся, и</w:t>
      </w:r>
      <w:r w:rsidR="0013163E">
        <w:rPr>
          <w:rFonts w:ascii="Times New Roman" w:hAnsi="Times New Roman" w:cs="Times New Roman"/>
          <w:sz w:val="28"/>
          <w:szCs w:val="28"/>
        </w:rPr>
        <w:t>з них 17 девочек, 10 мальчиков.</w:t>
      </w:r>
    </w:p>
    <w:p w:rsidR="00A03FB5" w:rsidRDefault="0013163E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исследовании использовались диагностики: </w:t>
      </w:r>
      <w:proofErr w:type="gramStart"/>
      <w:r w:rsidRPr="0013163E">
        <w:rPr>
          <w:rFonts w:ascii="Times New Roman" w:hAnsi="Times New Roman" w:cs="Times New Roman"/>
          <w:sz w:val="28"/>
          <w:szCs w:val="28"/>
        </w:rPr>
        <w:t xml:space="preserve">Методика изучения концентрации и устойчивости внимания (модификация метода </w:t>
      </w:r>
      <w:proofErr w:type="spellStart"/>
      <w:r w:rsidRPr="0013163E">
        <w:rPr>
          <w:rFonts w:ascii="Times New Roman" w:hAnsi="Times New Roman" w:cs="Times New Roman"/>
          <w:sz w:val="28"/>
          <w:szCs w:val="28"/>
        </w:rPr>
        <w:t>Пьерона</w:t>
      </w:r>
      <w:proofErr w:type="spellEnd"/>
      <w:r w:rsidRPr="0013163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3163E">
        <w:rPr>
          <w:rFonts w:ascii="Times New Roman" w:hAnsi="Times New Roman" w:cs="Times New Roman"/>
          <w:sz w:val="28"/>
          <w:szCs w:val="28"/>
        </w:rPr>
        <w:t>Рузера</w:t>
      </w:r>
      <w:proofErr w:type="spellEnd"/>
      <w:r w:rsidRPr="001316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3163E">
        <w:rPr>
          <w:rFonts w:ascii="Times New Roman" w:hAnsi="Times New Roman" w:cs="Times New Roman"/>
          <w:sz w:val="28"/>
          <w:szCs w:val="28"/>
        </w:rPr>
        <w:t>Методика "Чем залатать коврик?"</w:t>
      </w:r>
      <w:r>
        <w:rPr>
          <w:rFonts w:ascii="Times New Roman" w:hAnsi="Times New Roman" w:cs="Times New Roman"/>
          <w:sz w:val="28"/>
          <w:szCs w:val="28"/>
        </w:rPr>
        <w:t xml:space="preserve">, основанная на прогрессивных матрицах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цель которой определить способность испытуемого решать наглядные задачи, практически используя сохраненные в кратковремен</w:t>
      </w:r>
      <w:r w:rsidR="00F471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и опера</w:t>
      </w:r>
      <w:r w:rsidR="00F4711A">
        <w:rPr>
          <w:rFonts w:ascii="Times New Roman" w:hAnsi="Times New Roman" w:cs="Times New Roman"/>
          <w:sz w:val="28"/>
          <w:szCs w:val="28"/>
        </w:rPr>
        <w:t xml:space="preserve">тивной памяти образы виденного; Методика </w:t>
      </w:r>
      <w:proofErr w:type="spellStart"/>
      <w:r w:rsidR="00F4711A">
        <w:rPr>
          <w:rFonts w:ascii="Times New Roman" w:hAnsi="Times New Roman" w:cs="Times New Roman"/>
          <w:sz w:val="28"/>
          <w:szCs w:val="28"/>
        </w:rPr>
        <w:t>Р.С.Немова</w:t>
      </w:r>
      <w:proofErr w:type="spellEnd"/>
      <w:r w:rsidR="00280BAD">
        <w:rPr>
          <w:rFonts w:ascii="Times New Roman" w:hAnsi="Times New Roman" w:cs="Times New Roman"/>
          <w:sz w:val="28"/>
          <w:szCs w:val="28"/>
        </w:rPr>
        <w:t xml:space="preserve"> </w:t>
      </w:r>
      <w:r w:rsidR="00F4711A" w:rsidRPr="00F4711A">
        <w:rPr>
          <w:rFonts w:ascii="Times New Roman" w:hAnsi="Times New Roman" w:cs="Times New Roman"/>
          <w:sz w:val="28"/>
          <w:szCs w:val="28"/>
        </w:rPr>
        <w:t>«Какие предметы спрятаны в рисунках?»</w:t>
      </w:r>
      <w:r w:rsidR="00F4711A">
        <w:rPr>
          <w:rFonts w:ascii="Times New Roman" w:hAnsi="Times New Roman" w:cs="Times New Roman"/>
          <w:sz w:val="28"/>
          <w:szCs w:val="28"/>
        </w:rPr>
        <w:t xml:space="preserve">, для определения </w:t>
      </w:r>
      <w:r w:rsidR="00F4711A" w:rsidRPr="00F4711A">
        <w:rPr>
          <w:rFonts w:ascii="Times New Roman" w:hAnsi="Times New Roman" w:cs="Times New Roman"/>
          <w:sz w:val="28"/>
          <w:szCs w:val="28"/>
        </w:rPr>
        <w:t>уровня восприятия</w:t>
      </w:r>
      <w:r w:rsidR="00F4711A">
        <w:rPr>
          <w:rFonts w:ascii="Times New Roman" w:hAnsi="Times New Roman" w:cs="Times New Roman"/>
          <w:sz w:val="28"/>
          <w:szCs w:val="28"/>
        </w:rPr>
        <w:t xml:space="preserve"> и </w:t>
      </w:r>
      <w:r w:rsidR="00F4711A" w:rsidRPr="00F4711A">
        <w:rPr>
          <w:rFonts w:ascii="Times New Roman" w:hAnsi="Times New Roman" w:cs="Times New Roman"/>
          <w:sz w:val="28"/>
          <w:szCs w:val="28"/>
        </w:rPr>
        <w:t>способности формировать образы в сознании</w:t>
      </w:r>
      <w:r w:rsidR="00F4711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4711A">
        <w:rPr>
          <w:rFonts w:ascii="Times New Roman" w:hAnsi="Times New Roman" w:cs="Times New Roman"/>
          <w:sz w:val="28"/>
          <w:szCs w:val="28"/>
        </w:rPr>
        <w:t xml:space="preserve"> Методика «Оперативная память», исследующая уровень развития кратковременной памяти: анкета для определения учебной мотивации в школе и центре.</w:t>
      </w:r>
    </w:p>
    <w:p w:rsidR="00F4711A" w:rsidRDefault="00F4711A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диагностического  исследования высокий уровень </w:t>
      </w:r>
      <w:r w:rsidRPr="00F4711A">
        <w:rPr>
          <w:rFonts w:ascii="Times New Roman" w:hAnsi="Times New Roman" w:cs="Times New Roman"/>
          <w:sz w:val="28"/>
          <w:szCs w:val="28"/>
        </w:rPr>
        <w:t>восприятия и способности формировать образы в сознании</w:t>
      </w:r>
      <w:r>
        <w:rPr>
          <w:rFonts w:ascii="Times New Roman" w:hAnsi="Times New Roman" w:cs="Times New Roman"/>
          <w:sz w:val="28"/>
          <w:szCs w:val="28"/>
        </w:rPr>
        <w:t xml:space="preserve"> показал 1 учащийся (3% от общего числа учащихся)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чень высокий уровень 4 человека (15%), низкий уровень 17 учащихся (63%) и 5 учащихся показали очень низкий уровень (18,5%)</w:t>
      </w:r>
    </w:p>
    <w:p w:rsidR="00F4711A" w:rsidRDefault="00F4711A" w:rsidP="00F4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5582" cy="2452255"/>
            <wp:effectExtent l="0" t="0" r="1778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711A" w:rsidRDefault="00F4711A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уровню концентрации и устойчивости внимания были получены следующие результаты. 2 (7%) человека показали высокий уровень концентрации и устойчивости внимания, 18 (67%) учащихся – средний уровень, 7 человек (26%) – низкий уровень.</w:t>
      </w:r>
    </w:p>
    <w:p w:rsidR="00F4711A" w:rsidRDefault="00F4711A" w:rsidP="00F471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5696" cy="2245766"/>
            <wp:effectExtent l="0" t="0" r="13335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4711A" w:rsidRDefault="00F4711A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методики определения </w:t>
      </w:r>
      <w:r w:rsidRPr="00F4711A">
        <w:rPr>
          <w:rFonts w:ascii="Times New Roman" w:hAnsi="Times New Roman" w:cs="Times New Roman"/>
          <w:sz w:val="28"/>
          <w:szCs w:val="28"/>
        </w:rPr>
        <w:t>спосо</w:t>
      </w:r>
      <w:r>
        <w:rPr>
          <w:rFonts w:ascii="Times New Roman" w:hAnsi="Times New Roman" w:cs="Times New Roman"/>
          <w:sz w:val="28"/>
          <w:szCs w:val="28"/>
        </w:rPr>
        <w:t>бности</w:t>
      </w:r>
      <w:r w:rsidRPr="00F4711A">
        <w:rPr>
          <w:rFonts w:ascii="Times New Roman" w:hAnsi="Times New Roman" w:cs="Times New Roman"/>
          <w:sz w:val="28"/>
          <w:szCs w:val="28"/>
        </w:rPr>
        <w:t xml:space="preserve"> решать наглядные задачи, практически используя сохраненные в кратковременной и оперативной памяти образы виденного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711A">
        <w:rPr>
          <w:rFonts w:ascii="Times New Roman" w:hAnsi="Times New Roman" w:cs="Times New Roman"/>
          <w:b/>
          <w:sz w:val="28"/>
          <w:szCs w:val="28"/>
        </w:rPr>
        <w:t>очень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показали 6 человек (22%), </w:t>
      </w:r>
      <w:r w:rsidRPr="00F4711A">
        <w:rPr>
          <w:rFonts w:ascii="Times New Roman" w:hAnsi="Times New Roman" w:cs="Times New Roman"/>
          <w:b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-  5 учащихся (18,5%), </w:t>
      </w:r>
      <w:r w:rsidRPr="00F4711A">
        <w:rPr>
          <w:rFonts w:ascii="Times New Roman" w:hAnsi="Times New Roman" w:cs="Times New Roman"/>
          <w:b/>
          <w:sz w:val="28"/>
          <w:szCs w:val="28"/>
        </w:rPr>
        <w:t>средний</w:t>
      </w:r>
      <w:r>
        <w:rPr>
          <w:rFonts w:ascii="Times New Roman" w:hAnsi="Times New Roman" w:cs="Times New Roman"/>
          <w:sz w:val="28"/>
          <w:szCs w:val="28"/>
        </w:rPr>
        <w:t xml:space="preserve"> уровень развития показали 2 (7%) человека,</w:t>
      </w:r>
      <w:r w:rsidRPr="00F4711A">
        <w:rPr>
          <w:rFonts w:ascii="Times New Roman" w:hAnsi="Times New Roman" w:cs="Times New Roman"/>
          <w:b/>
          <w:sz w:val="28"/>
          <w:szCs w:val="28"/>
        </w:rPr>
        <w:t xml:space="preserve"> низкий</w:t>
      </w:r>
      <w:r>
        <w:rPr>
          <w:rFonts w:ascii="Times New Roman" w:hAnsi="Times New Roman" w:cs="Times New Roman"/>
          <w:sz w:val="28"/>
          <w:szCs w:val="28"/>
        </w:rPr>
        <w:t xml:space="preserve"> -  11 (41%) человек и </w:t>
      </w:r>
      <w:r w:rsidRPr="00F4711A">
        <w:rPr>
          <w:rFonts w:ascii="Times New Roman" w:hAnsi="Times New Roman" w:cs="Times New Roman"/>
          <w:b/>
          <w:sz w:val="28"/>
          <w:szCs w:val="28"/>
        </w:rPr>
        <w:t>очень низкий</w:t>
      </w:r>
      <w:r>
        <w:rPr>
          <w:rFonts w:ascii="Times New Roman" w:hAnsi="Times New Roman" w:cs="Times New Roman"/>
          <w:sz w:val="28"/>
          <w:szCs w:val="28"/>
        </w:rPr>
        <w:t xml:space="preserve"> – 3 человека (11%).</w:t>
      </w:r>
    </w:p>
    <w:p w:rsidR="00F4711A" w:rsidRDefault="00F4711A" w:rsidP="00F471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84217" cy="2384755"/>
            <wp:effectExtent l="0" t="0" r="1206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711A" w:rsidRDefault="00F4711A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 уровня развития кратковременной памяти показали, уровень развития выше нормы - 3 человека (11%),, нормальный уровень у 4 (15%) учащихся, ниже нормы у 7 человек (26%) и 13 человек (48%) показали уровень развития значительно ниже нормы (0,1,2 задания из 15 возможных)</w:t>
      </w:r>
    </w:p>
    <w:p w:rsidR="00F4711A" w:rsidRDefault="00F4711A" w:rsidP="00F471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28032" cy="2077516"/>
            <wp:effectExtent l="0" t="0" r="1079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376D" w:rsidRDefault="00AF376D" w:rsidP="00B73A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Сравнительные результаты анкетирования по вопросам учебной мотивации в школе и в центре выявили- </w:t>
      </w:r>
      <w:r w:rsidR="005F6527">
        <w:rPr>
          <w:rFonts w:ascii="Times New Roman" w:hAnsi="Times New Roman" w:cs="Times New Roman"/>
          <w:sz w:val="28"/>
          <w:szCs w:val="28"/>
        </w:rPr>
        <w:t>положительная мотивация по отношению к центру у учащихся выше школьной на 11%</w:t>
      </w:r>
    </w:p>
    <w:p w:rsidR="00AF376D" w:rsidRDefault="005F6527" w:rsidP="00AF3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7021" cy="3386937"/>
            <wp:effectExtent l="0" t="0" r="24130" b="234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3ABB" w:rsidRPr="00B73ABB" w:rsidRDefault="00B73ABB" w:rsidP="005F6527">
      <w:pPr>
        <w:rPr>
          <w:rFonts w:ascii="Times New Roman" w:hAnsi="Times New Roman" w:cs="Times New Roman"/>
          <w:sz w:val="28"/>
          <w:szCs w:val="28"/>
        </w:rPr>
      </w:pPr>
      <w:r w:rsidRPr="00B73ABB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B73ABB">
        <w:rPr>
          <w:rFonts w:ascii="Times New Roman" w:hAnsi="Times New Roman" w:cs="Times New Roman"/>
          <w:sz w:val="28"/>
          <w:szCs w:val="28"/>
        </w:rPr>
        <w:t>На основании полученных результатов исследования можно предположить, что большинство затруднений в учебной деятельности у данной группы детей связано:</w:t>
      </w:r>
    </w:p>
    <w:p w:rsidR="00AF376D" w:rsidRDefault="00B73ABB" w:rsidP="00B73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низким уровнем развития </w:t>
      </w:r>
      <w:r w:rsidRPr="00B73ABB">
        <w:rPr>
          <w:rFonts w:ascii="Times New Roman" w:hAnsi="Times New Roman" w:cs="Times New Roman"/>
          <w:sz w:val="28"/>
          <w:szCs w:val="28"/>
        </w:rPr>
        <w:t>восприятия и способности формировать образы в сознании</w:t>
      </w:r>
      <w:r>
        <w:rPr>
          <w:rFonts w:ascii="Times New Roman" w:hAnsi="Times New Roman" w:cs="Times New Roman"/>
          <w:sz w:val="28"/>
          <w:szCs w:val="28"/>
        </w:rPr>
        <w:t xml:space="preserve"> – 81,5% от общего числа испытуемых показали низкий и очень низкий уровень развития</w:t>
      </w:r>
    </w:p>
    <w:p w:rsidR="00B73ABB" w:rsidRDefault="009B0EAE" w:rsidP="00B73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дефицитом развития кратковременной памяти 74% от общего числа учащихся показали уровень ниже и значительно ниже нормы.</w:t>
      </w:r>
    </w:p>
    <w:p w:rsidR="009B0EAE" w:rsidRDefault="009B0EAE" w:rsidP="00B73A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Положительная школьная мотивация составила 59% , что для данной возрастной группы является не характерным и дает основания для более глубокого изучения этого вопроса.</w:t>
      </w:r>
    </w:p>
    <w:p w:rsidR="009B0EAE" w:rsidRPr="00353351" w:rsidRDefault="009B0EAE" w:rsidP="003533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35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53351" w:rsidRPr="00353351">
        <w:rPr>
          <w:rFonts w:ascii="Times New Roman" w:hAnsi="Times New Roman" w:cs="Times New Roman"/>
          <w:b/>
          <w:sz w:val="28"/>
          <w:szCs w:val="28"/>
        </w:rPr>
        <w:t>12</w:t>
      </w:r>
      <w:r w:rsidR="00353351" w:rsidRPr="00353351">
        <w:rPr>
          <w:rFonts w:ascii="Times New Roman" w:hAnsi="Times New Roman" w:cs="Times New Roman"/>
          <w:sz w:val="28"/>
          <w:szCs w:val="28"/>
        </w:rPr>
        <w:t>(44% от общего числа учащихся) учащихся почти во всех исследованиях показали низкий и очень низкий уровень развития</w:t>
      </w:r>
      <w:r w:rsidR="00353351">
        <w:rPr>
          <w:rFonts w:ascii="Times New Roman" w:hAnsi="Times New Roman" w:cs="Times New Roman"/>
          <w:sz w:val="28"/>
          <w:szCs w:val="28"/>
        </w:rPr>
        <w:t xml:space="preserve">, что позволяет предположить у этих детей особые трудности в обучении, и требует дополнительного исследования психологических и психофизических особенностей развития этих учащихся. </w:t>
      </w:r>
    </w:p>
    <w:p w:rsidR="00F4711A" w:rsidRDefault="00F4711A" w:rsidP="0035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351" w:rsidRDefault="00353351" w:rsidP="003533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351" w:rsidRPr="00B73ABB" w:rsidRDefault="00353351" w:rsidP="00353351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методист ДЮСТЦ       Педагог-психолог </w:t>
      </w:r>
      <w:r w:rsidRPr="00353351">
        <w:rPr>
          <w:rFonts w:ascii="Times New Roman" w:hAnsi="Times New Roman" w:cs="Times New Roman"/>
          <w:b/>
          <w:sz w:val="28"/>
          <w:szCs w:val="28"/>
        </w:rPr>
        <w:t>Миронова Т.В.</w:t>
      </w:r>
    </w:p>
    <w:p w:rsidR="00F4711A" w:rsidRPr="00B73ABB" w:rsidRDefault="004A5FE9" w:rsidP="00F4711A">
      <w:pPr>
        <w:ind w:firstLine="708"/>
      </w:pPr>
      <w:r w:rsidRPr="004A5FE9">
        <w:fldChar w:fldCharType="begin"/>
      </w:r>
      <w:r w:rsidR="00F4711A" w:rsidRPr="00B73ABB">
        <w:instrText xml:space="preserve"> LINK Excel.Sheet.12 "C:\\Users\\мася\\Desktop\\Результаты тестирования.xlsx" "Лист3!R26C11:R29C12" \a \f 4 \h </w:instrText>
      </w:r>
      <w:r w:rsidR="00B73ABB">
        <w:instrText xml:space="preserve"> \* MERGEFORMAT </w:instrText>
      </w:r>
      <w:r w:rsidRPr="004A5FE9">
        <w:fldChar w:fldCharType="separate"/>
      </w:r>
    </w:p>
    <w:p w:rsidR="00F4711A" w:rsidRPr="00F4711A" w:rsidRDefault="004A5FE9" w:rsidP="00F471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3ABB">
        <w:rPr>
          <w:rFonts w:ascii="Times New Roman" w:hAnsi="Times New Roman" w:cs="Times New Roman"/>
          <w:sz w:val="28"/>
          <w:szCs w:val="28"/>
        </w:rPr>
        <w:fldChar w:fldCharType="end"/>
      </w:r>
    </w:p>
    <w:p w:rsidR="00A03FB5" w:rsidRPr="00A03FB5" w:rsidRDefault="00A03FB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03FB5" w:rsidRPr="00A03FB5" w:rsidSect="004A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827FB"/>
    <w:multiLevelType w:val="hybridMultilevel"/>
    <w:tmpl w:val="97E805EC"/>
    <w:lvl w:ilvl="0" w:tplc="9B882834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4C50"/>
    <w:rsid w:val="0013163E"/>
    <w:rsid w:val="00280BAD"/>
    <w:rsid w:val="00353351"/>
    <w:rsid w:val="0036537D"/>
    <w:rsid w:val="00423A83"/>
    <w:rsid w:val="004A5FE9"/>
    <w:rsid w:val="00593166"/>
    <w:rsid w:val="005F6527"/>
    <w:rsid w:val="006220DD"/>
    <w:rsid w:val="009B0EAE"/>
    <w:rsid w:val="00A03FB5"/>
    <w:rsid w:val="00AF376D"/>
    <w:rsid w:val="00B73ABB"/>
    <w:rsid w:val="00BA2E88"/>
    <w:rsid w:val="00C14C50"/>
    <w:rsid w:val="00F4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9;&#1103;\Desktop\&#1056;&#1077;&#1079;&#1091;&#1083;&#1100;&#1090;&#1072;&#1090;&#1099;%20&#1090;&#1077;&#1089;&#1090;&#1080;&#1088;&#1086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9;&#1103;\Desktop\&#1056;&#1077;&#1079;&#1091;&#1083;&#1100;&#1090;&#1072;&#1090;&#1099;%20&#1090;&#1077;&#1089;&#1090;&#1080;&#1088;&#1086;&#1074;&#1072;&#1085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4;&#1072;&#1089;&#1103;\Desktop\&#1056;&#1077;&#1079;&#1091;&#1083;&#1100;&#1090;&#1072;&#1090;&#1099;%20&#1090;&#1077;&#1089;&#1090;&#1080;&#1088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исследования</a:t>
            </a:r>
            <a:r>
              <a:rPr lang="ru-RU" sz="1200" baseline="0"/>
              <a:t> по методике Р.С.Немова</a:t>
            </a:r>
            <a:endParaRPr lang="ru-RU" sz="12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Лист3!$C$4</c:f>
              <c:strCache>
                <c:ptCount val="1"/>
                <c:pt idx="0">
                  <c:v>10б очень высокий</c:v>
                </c:pt>
              </c:strCache>
            </c:strRef>
          </c:tx>
          <c:val>
            <c:numRef>
              <c:f>Лист3!$C$5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Лист3!$D$4</c:f>
              <c:strCache>
                <c:ptCount val="1"/>
                <c:pt idx="0">
                  <c:v>8-9б высокий</c:v>
                </c:pt>
              </c:strCache>
            </c:strRef>
          </c:tx>
          <c:val>
            <c:numRef>
              <c:f>Лист3!$D$5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Лист3!$E$4</c:f>
              <c:strCache>
                <c:ptCount val="1"/>
                <c:pt idx="0">
                  <c:v>6-7б средний</c:v>
                </c:pt>
              </c:strCache>
            </c:strRef>
          </c:tx>
          <c:val>
            <c:numRef>
              <c:f>Лист3!$E$5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Лист3!$F$4</c:f>
              <c:strCache>
                <c:ptCount val="1"/>
                <c:pt idx="0">
                  <c:v>4-5б средний</c:v>
                </c:pt>
              </c:strCache>
            </c:strRef>
          </c:tx>
          <c:val>
            <c:numRef>
              <c:f>Лист3!$F$5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Лист3!$G$4</c:f>
              <c:strCache>
                <c:ptCount val="1"/>
                <c:pt idx="0">
                  <c:v>2-3б низкий</c:v>
                </c:pt>
              </c:strCache>
            </c:strRef>
          </c:tx>
          <c:val>
            <c:numRef>
              <c:f>Лист3!$G$5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5"/>
          <c:order val="5"/>
          <c:tx>
            <c:strRef>
              <c:f>Лист3!$H$4</c:f>
              <c:strCache>
                <c:ptCount val="1"/>
                <c:pt idx="0">
                  <c:v>0-1б очень низкий</c:v>
                </c:pt>
              </c:strCache>
            </c:strRef>
          </c:tx>
          <c:val>
            <c:numRef>
              <c:f>Лист3!$H$5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hape val="box"/>
        <c:axId val="63051648"/>
        <c:axId val="46714880"/>
        <c:axId val="0"/>
      </c:bar3DChart>
      <c:catAx>
        <c:axId val="630516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уровень</a:t>
                </a:r>
              </a:p>
            </c:rich>
          </c:tx>
          <c:layout>
            <c:manualLayout>
              <c:xMode val="edge"/>
              <c:yMode val="edge"/>
              <c:x val="0.32477146975178484"/>
              <c:y val="0.88935508935508945"/>
            </c:manualLayout>
          </c:layout>
        </c:title>
        <c:majorTickMark val="none"/>
        <c:tickLblPos val="nextTo"/>
        <c:crossAx val="46714880"/>
        <c:crosses val="autoZero"/>
        <c:auto val="1"/>
        <c:lblAlgn val="ctr"/>
        <c:lblOffset val="100"/>
      </c:catAx>
      <c:valAx>
        <c:axId val="467148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кол-во учащихся</a:t>
                </a:r>
              </a:p>
            </c:rich>
          </c:tx>
        </c:title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63051648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исследования по методике Пьерона-Рузера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6589029160611141E-2"/>
          <c:y val="0.41591593330245508"/>
          <c:w val="0.98126235081570423"/>
          <c:h val="0.53241395589125962"/>
        </c:manualLayout>
      </c:layout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-8.5989063867016644E-2"/>
                  <c:y val="-0.2203153251676874"/>
                </c:manualLayout>
              </c:layout>
              <c:showPercent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Лист3!$M$4:$P$4</c:f>
              <c:strCache>
                <c:ptCount val="4"/>
                <c:pt idx="0">
                  <c:v>высокий </c:v>
                </c:pt>
                <c:pt idx="1">
                  <c:v>средний  </c:v>
                </c:pt>
                <c:pt idx="2">
                  <c:v>низкий  </c:v>
                </c:pt>
                <c:pt idx="3">
                  <c:v>очень низкий  .</c:v>
                </c:pt>
              </c:strCache>
            </c:strRef>
          </c:cat>
          <c:val>
            <c:numRef>
              <c:f>Лист3!$M$5:$P$5</c:f>
              <c:numCache>
                <c:formatCode>General</c:formatCode>
                <c:ptCount val="4"/>
                <c:pt idx="0">
                  <c:v>2</c:v>
                </c:pt>
                <c:pt idx="1">
                  <c:v>18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исследования по методике "Чем залатать коврик?"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Лист3!$B$26</c:f>
              <c:strCache>
                <c:ptCount val="1"/>
                <c:pt idx="0">
                  <c:v> очень высокий </c:v>
                </c:pt>
              </c:strCache>
            </c:strRef>
          </c:tx>
          <c:val>
            <c:numRef>
              <c:f>Лист3!$B$27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Лист3!$C$26</c:f>
              <c:strCache>
                <c:ptCount val="1"/>
                <c:pt idx="0">
                  <c:v> высокий</c:v>
                </c:pt>
              </c:strCache>
            </c:strRef>
          </c:tx>
          <c:val>
            <c:numRef>
              <c:f>Лист3!$C$27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Лист3!$D$26</c:f>
              <c:strCache>
                <c:ptCount val="1"/>
                <c:pt idx="0">
                  <c:v>  средний</c:v>
                </c:pt>
              </c:strCache>
            </c:strRef>
          </c:tx>
          <c:val>
            <c:numRef>
              <c:f>Лист3!$D$27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Лист3!$E$26</c:f>
              <c:strCache>
                <c:ptCount val="1"/>
                <c:pt idx="0">
                  <c:v>  низкий</c:v>
                </c:pt>
              </c:strCache>
            </c:strRef>
          </c:tx>
          <c:val>
            <c:numRef>
              <c:f>Лист3!$E$27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4"/>
          <c:order val="4"/>
          <c:tx>
            <c:strRef>
              <c:f>Лист3!$F$26</c:f>
              <c:strCache>
                <c:ptCount val="1"/>
                <c:pt idx="0">
                  <c:v> очень низкий</c:v>
                </c:pt>
              </c:strCache>
            </c:strRef>
          </c:tx>
          <c:val>
            <c:numRef>
              <c:f>Лист3!$F$27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axId val="57851904"/>
        <c:axId val="57853824"/>
      </c:barChart>
      <c:catAx>
        <c:axId val="5785190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800"/>
                </a:pPr>
                <a:r>
                  <a:rPr lang="ru-RU" sz="800"/>
                  <a:t>Уровень</a:t>
                </a:r>
              </a:p>
            </c:rich>
          </c:tx>
          <c:layout>
            <c:manualLayout>
              <c:xMode val="edge"/>
              <c:yMode val="edge"/>
              <c:x val="0.32926574803149605"/>
              <c:y val="0.92034703995333922"/>
            </c:manualLayout>
          </c:layout>
        </c:title>
        <c:majorTickMark val="none"/>
        <c:tickLblPos val="nextTo"/>
        <c:crossAx val="57853824"/>
        <c:crosses val="autoZero"/>
        <c:auto val="1"/>
        <c:lblAlgn val="ctr"/>
        <c:lblOffset val="100"/>
      </c:catAx>
      <c:valAx>
        <c:axId val="57853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800" b="1"/>
                </a:pPr>
                <a:r>
                  <a:rPr lang="ru-RU" sz="800" b="1"/>
                  <a:t>Кол-во учащихся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57851904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Результаты исследования по методике "Оперативная память"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0397404159707312E-2"/>
          <c:y val="0.30038587732326827"/>
          <c:w val="0.6822050143902999"/>
          <c:h val="0.6416867870116052"/>
        </c:manualLayout>
      </c:layout>
      <c:pie3D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Лист3!$K$26:$K$29</c:f>
              <c:strCache>
                <c:ptCount val="4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  <c:pt idx="3">
                  <c:v>значительно ниже нормы</c:v>
                </c:pt>
              </c:strCache>
            </c:strRef>
          </c:cat>
          <c:val>
            <c:numRef>
              <c:f>Лист3!$L$26:$L$29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/>
              <a:t>Сравнительные результаты учебной мотивации респондентов  в школе и центре</a:t>
            </a:r>
          </a:p>
        </c:rich>
      </c:tx>
      <c:layout>
        <c:manualLayout>
          <c:xMode val="edge"/>
          <c:yMode val="edge"/>
          <c:x val="0.11321268298379095"/>
          <c:y val="2.2501406337896119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'[Результаты тестирования.xlsx]Лист3'!$B$46</c:f>
              <c:strCache>
                <c:ptCount val="1"/>
                <c:pt idx="0">
                  <c:v>школа</c:v>
                </c:pt>
              </c:strCache>
            </c:strRef>
          </c:tx>
          <c:val>
            <c:numRef>
              <c:f>'[Результаты тестирования.xlsx]Лист3'!$B$47:$B$73</c:f>
              <c:numCache>
                <c:formatCode>0%</c:formatCode>
                <c:ptCount val="27"/>
                <c:pt idx="0">
                  <c:v>0.66000000000000025</c:v>
                </c:pt>
                <c:pt idx="1">
                  <c:v>0.70000000000000018</c:v>
                </c:pt>
                <c:pt idx="2">
                  <c:v>0.33000000000000013</c:v>
                </c:pt>
                <c:pt idx="3">
                  <c:v>0.2</c:v>
                </c:pt>
                <c:pt idx="4">
                  <c:v>0.3000000000000001</c:v>
                </c:pt>
                <c:pt idx="5">
                  <c:v>0.63000000000000023</c:v>
                </c:pt>
                <c:pt idx="6">
                  <c:v>0.3000000000000001</c:v>
                </c:pt>
                <c:pt idx="7">
                  <c:v>0.33000000000000013</c:v>
                </c:pt>
                <c:pt idx="8">
                  <c:v>0.46</c:v>
                </c:pt>
                <c:pt idx="9">
                  <c:v>0.4300000000000001</c:v>
                </c:pt>
                <c:pt idx="10">
                  <c:v>1</c:v>
                </c:pt>
                <c:pt idx="11">
                  <c:v>0.66000000000000025</c:v>
                </c:pt>
                <c:pt idx="12">
                  <c:v>0.9</c:v>
                </c:pt>
                <c:pt idx="13">
                  <c:v>0.63000000000000023</c:v>
                </c:pt>
                <c:pt idx="14">
                  <c:v>0.83000000000000018</c:v>
                </c:pt>
                <c:pt idx="15" formatCode="General">
                  <c:v>0</c:v>
                </c:pt>
                <c:pt idx="16">
                  <c:v>0.53</c:v>
                </c:pt>
                <c:pt idx="17">
                  <c:v>0.8</c:v>
                </c:pt>
                <c:pt idx="18">
                  <c:v>0.76000000000000023</c:v>
                </c:pt>
                <c:pt idx="19">
                  <c:v>0.53</c:v>
                </c:pt>
                <c:pt idx="20">
                  <c:v>0.66000000000000025</c:v>
                </c:pt>
                <c:pt idx="21">
                  <c:v>0.83000000000000018</c:v>
                </c:pt>
                <c:pt idx="22">
                  <c:v>0.9</c:v>
                </c:pt>
                <c:pt idx="23">
                  <c:v>0.70000000000000018</c:v>
                </c:pt>
                <c:pt idx="24">
                  <c:v>0.66000000000000025</c:v>
                </c:pt>
                <c:pt idx="25">
                  <c:v>0.63000000000000023</c:v>
                </c:pt>
                <c:pt idx="26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'[Результаты тестирования.xlsx]Лист3'!$C$46</c:f>
              <c:strCache>
                <c:ptCount val="1"/>
                <c:pt idx="0">
                  <c:v>центр</c:v>
                </c:pt>
              </c:strCache>
            </c:strRef>
          </c:tx>
          <c:val>
            <c:numRef>
              <c:f>'[Результаты тестирования.xlsx]Лист3'!$C$47:$C$73</c:f>
              <c:numCache>
                <c:formatCode>0%</c:formatCode>
                <c:ptCount val="27"/>
                <c:pt idx="0">
                  <c:v>0.62000000000000022</c:v>
                </c:pt>
                <c:pt idx="1">
                  <c:v>0.75000000000000022</c:v>
                </c:pt>
                <c:pt idx="2">
                  <c:v>1</c:v>
                </c:pt>
                <c:pt idx="3" formatCode="0.00%">
                  <c:v>0.37500000000000011</c:v>
                </c:pt>
                <c:pt idx="4" formatCode="0.00%">
                  <c:v>0.62500000000000022</c:v>
                </c:pt>
                <c:pt idx="5">
                  <c:v>0.91</c:v>
                </c:pt>
                <c:pt idx="6">
                  <c:v>1</c:v>
                </c:pt>
                <c:pt idx="7">
                  <c:v>0.66000000000000025</c:v>
                </c:pt>
                <c:pt idx="8">
                  <c:v>0.91</c:v>
                </c:pt>
                <c:pt idx="9">
                  <c:v>0.5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0.41000000000000009</c:v>
                </c:pt>
                <c:pt idx="14">
                  <c:v>0.66000000000000025</c:v>
                </c:pt>
                <c:pt idx="15">
                  <c:v>0.79</c:v>
                </c:pt>
                <c:pt idx="16" formatCode="0.00%">
                  <c:v>0.125</c:v>
                </c:pt>
                <c:pt idx="17" formatCode="0.00%">
                  <c:v>0.62500000000000022</c:v>
                </c:pt>
                <c:pt idx="18">
                  <c:v>0.79</c:v>
                </c:pt>
                <c:pt idx="19" formatCode="General">
                  <c:v>0</c:v>
                </c:pt>
                <c:pt idx="20">
                  <c:v>0.75000000000000022</c:v>
                </c:pt>
                <c:pt idx="21">
                  <c:v>1</c:v>
                </c:pt>
                <c:pt idx="22">
                  <c:v>0.70000000000000018</c:v>
                </c:pt>
                <c:pt idx="23">
                  <c:v>0.79</c:v>
                </c:pt>
                <c:pt idx="24">
                  <c:v>0.66000000000000025</c:v>
                </c:pt>
                <c:pt idx="25">
                  <c:v>0.70000000000000018</c:v>
                </c:pt>
                <c:pt idx="26">
                  <c:v>0.5</c:v>
                </c:pt>
              </c:numCache>
            </c:numRef>
          </c:val>
        </c:ser>
        <c:axId val="62879616"/>
        <c:axId val="62898176"/>
      </c:barChart>
      <c:catAx>
        <c:axId val="628796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учащиеся</a:t>
                </a:r>
              </a:p>
            </c:rich>
          </c:tx>
        </c:title>
        <c:majorTickMark val="none"/>
        <c:tickLblPos val="nextTo"/>
        <c:crossAx val="62898176"/>
        <c:crosses val="autoZero"/>
        <c:auto val="1"/>
        <c:lblAlgn val="ctr"/>
        <c:lblOffset val="100"/>
      </c:catAx>
      <c:valAx>
        <c:axId val="628981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уровень положительной мотивации</a:t>
                </a:r>
              </a:p>
            </c:rich>
          </c:tx>
        </c:title>
        <c:numFmt formatCode="0%" sourceLinked="1"/>
        <c:tickLblPos val="nextTo"/>
        <c:crossAx val="6287961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00BC0-1A89-413D-8A4D-D891F430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PC</cp:lastModifiedBy>
  <cp:revision>6</cp:revision>
  <cp:lastPrinted>2018-01-29T00:32:00Z</cp:lastPrinted>
  <dcterms:created xsi:type="dcterms:W3CDTF">2018-01-28T08:19:00Z</dcterms:created>
  <dcterms:modified xsi:type="dcterms:W3CDTF">2018-01-29T00:50:00Z</dcterms:modified>
</cp:coreProperties>
</file>